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CD" w:rsidRPr="000F2C0E" w:rsidRDefault="000137CD" w:rsidP="000137CD">
      <w:pPr>
        <w:pStyle w:val="Intestazione"/>
        <w:tabs>
          <w:tab w:val="clear" w:pos="4819"/>
          <w:tab w:val="center" w:pos="4678"/>
        </w:tabs>
        <w:jc w:val="left"/>
        <w:rPr>
          <w:rFonts w:ascii="Titillium" w:hAnsi="Titillium" w:cs="Times New Roman"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ab/>
      </w:r>
      <w:r>
        <w:rPr>
          <w:rFonts w:ascii="Titillium" w:hAnsi="Titillium"/>
          <w:b/>
          <w:sz w:val="20"/>
          <w:szCs w:val="20"/>
        </w:rPr>
        <w:tab/>
        <w:t>Al</w:t>
      </w:r>
      <w:r w:rsidRPr="000F2C0E">
        <w:rPr>
          <w:rFonts w:ascii="Titillium" w:hAnsi="Titillium"/>
          <w:b/>
          <w:sz w:val="20"/>
          <w:szCs w:val="20"/>
        </w:rPr>
        <w:t xml:space="preserve">legato 3 alla </w:t>
      </w:r>
      <w:r w:rsidRPr="000F2C0E">
        <w:rPr>
          <w:rFonts w:ascii="Titillium" w:hAnsi="Titillium" w:cs="Times New Roman"/>
          <w:b/>
          <w:sz w:val="20"/>
          <w:szCs w:val="20"/>
        </w:rPr>
        <w:t>delibera ANAC n. 294/2021</w:t>
      </w:r>
    </w:p>
    <w:p w:rsidR="000137CD" w:rsidRDefault="000137CD" w:rsidP="000137CD">
      <w:pPr>
        <w:pStyle w:val="Intestazione"/>
        <w:jc w:val="left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ab/>
      </w:r>
    </w:p>
    <w:p w:rsidR="000137CD" w:rsidRDefault="000137CD" w:rsidP="000137CD">
      <w:pPr>
        <w:pStyle w:val="Intestazione"/>
        <w:jc w:val="left"/>
        <w:rPr>
          <w:rFonts w:ascii="Titillium" w:hAnsi="Titillium"/>
          <w:b/>
          <w:sz w:val="20"/>
          <w:szCs w:val="20"/>
        </w:rPr>
      </w:pPr>
    </w:p>
    <w:p w:rsidR="000137CD" w:rsidRDefault="000137CD" w:rsidP="000137CD">
      <w:pPr>
        <w:pStyle w:val="Intestazione"/>
        <w:jc w:val="left"/>
        <w:rPr>
          <w:rFonts w:ascii="Titillium" w:hAnsi="Titillium"/>
          <w:b/>
          <w:sz w:val="20"/>
          <w:szCs w:val="20"/>
        </w:rPr>
      </w:pPr>
    </w:p>
    <w:p w:rsidR="000137CD" w:rsidRPr="000B1019" w:rsidRDefault="000137CD" w:rsidP="000137CD">
      <w:pPr>
        <w:pStyle w:val="Intestazione"/>
        <w:jc w:val="left"/>
        <w:rPr>
          <w:rFonts w:ascii="Titillium" w:hAnsi="Titillium"/>
          <w:b/>
          <w:sz w:val="20"/>
          <w:szCs w:val="20"/>
        </w:rPr>
      </w:pPr>
      <w:proofErr w:type="gramStart"/>
      <w:r w:rsidRPr="000B1019">
        <w:rPr>
          <w:rFonts w:ascii="Titillium" w:hAnsi="Titillium"/>
          <w:b/>
          <w:sz w:val="20"/>
          <w:szCs w:val="20"/>
        </w:rPr>
        <w:t>Scheda di sintesi sulla rilevazione degli OIV o organismi con funzioni analoghe</w:t>
      </w:r>
      <w:proofErr w:type="gramEnd"/>
    </w:p>
    <w:p w:rsidR="000137CD" w:rsidRPr="0041405A" w:rsidRDefault="000137CD" w:rsidP="000137CD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0137CD" w:rsidRPr="0041405A" w:rsidRDefault="000137CD" w:rsidP="000137C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Il Collegio di direzione dell’Ufficio controllo interno, trasparenza e integrità (UCI) della Presidenza del Consiglio dei Ministri si è riunito, </w:t>
      </w:r>
      <w:r w:rsidR="006B027F">
        <w:rPr>
          <w:rFonts w:ascii="Titillium" w:eastAsia="Times New Roman" w:hAnsi="Titillium" w:cs="Cambria"/>
          <w:sz w:val="20"/>
          <w:szCs w:val="20"/>
          <w:lang w:eastAsia="ar-SA"/>
        </w:rPr>
        <w:t xml:space="preserve">da ultimo </w:t>
      </w:r>
      <w:bookmarkStart w:id="0" w:name="_GoBack"/>
      <w:bookmarkEnd w:id="0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il</w:t>
      </w:r>
      <w:r w:rsidR="006B027F">
        <w:rPr>
          <w:rFonts w:ascii="Titillium" w:eastAsia="Times New Roman" w:hAnsi="Titillium" w:cs="Cambria"/>
          <w:sz w:val="20"/>
          <w:szCs w:val="20"/>
          <w:lang w:eastAsia="ar-SA"/>
        </w:rPr>
        <w:t xml:space="preserve"> 24 </w:t>
      </w:r>
      <w:r w:rsidR="00E63D64">
        <w:rPr>
          <w:rFonts w:ascii="Titillium" w:eastAsia="Times New Roman" w:hAnsi="Titillium" w:cs="Cambria"/>
          <w:sz w:val="20"/>
          <w:szCs w:val="20"/>
          <w:lang w:eastAsia="ar-SA"/>
        </w:rPr>
        <w:t>giugno 2021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per la redazione della “Relazione di attestazione sull’assolvimento degli obblighi di pubblicazione al 31 maggio 2021 della Presidenza del Consiglio dei Ministri (PCM</w:t>
      </w:r>
      <w:proofErr w:type="gramStart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)</w:t>
      </w:r>
      <w:proofErr w:type="gram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” e dei relativi allegati, come previsto dalla Delibera ANAC n. 294 del 13 aprile 2021, avendo svolto le attività di rilevazione, ai fini dell’attestazione, nel periodo compreso tra il </w:t>
      </w:r>
      <w:r>
        <w:rPr>
          <w:rFonts w:ascii="Titillium" w:eastAsia="Times New Roman" w:hAnsi="Titillium" w:cs="Cambria"/>
          <w:sz w:val="20"/>
          <w:szCs w:val="20"/>
          <w:lang w:eastAsia="ar-SA"/>
        </w:rPr>
        <w:t xml:space="preserve"> 27 maggio 2021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 xml:space="preserve"> 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e la data odierna.</w:t>
      </w:r>
    </w:p>
    <w:p w:rsidR="000137CD" w:rsidRPr="0041405A" w:rsidRDefault="000137CD" w:rsidP="000137CD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0137CD" w:rsidRPr="00E63D64" w:rsidRDefault="000137CD" w:rsidP="000137CD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proofErr w:type="gramStart"/>
      <w:r w:rsidRPr="00E63D64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  <w:proofErr w:type="gramEnd"/>
    </w:p>
    <w:p w:rsidR="000137CD" w:rsidRPr="000137CD" w:rsidRDefault="000137CD" w:rsidP="000137CD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La PCM non ha uffici periferici.</w:t>
      </w:r>
    </w:p>
    <w:p w:rsidR="000137CD" w:rsidRPr="0041405A" w:rsidRDefault="000137CD" w:rsidP="000137CD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0137CD" w:rsidRPr="00E63D64" w:rsidRDefault="000137CD" w:rsidP="000137C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E63D64">
        <w:rPr>
          <w:rFonts w:ascii="Titillium" w:hAnsi="Titillium"/>
          <w:b/>
          <w:i/>
          <w:sz w:val="20"/>
          <w:szCs w:val="20"/>
        </w:rPr>
        <w:t xml:space="preserve">Procedure e </w:t>
      </w:r>
      <w:proofErr w:type="gramStart"/>
      <w:r w:rsidRPr="00E63D64">
        <w:rPr>
          <w:rFonts w:ascii="Titillium" w:hAnsi="Titillium"/>
          <w:b/>
          <w:i/>
          <w:sz w:val="20"/>
          <w:szCs w:val="20"/>
        </w:rPr>
        <w:t>modalità</w:t>
      </w:r>
      <w:proofErr w:type="gramEnd"/>
      <w:r w:rsidRPr="00E63D64">
        <w:rPr>
          <w:rFonts w:ascii="Titillium" w:hAnsi="Titillium"/>
          <w:b/>
          <w:i/>
          <w:sz w:val="20"/>
          <w:szCs w:val="20"/>
        </w:rPr>
        <w:t xml:space="preserve"> seguite per la rilevazione 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Il Collegio ha dapprima confrontato, antecedentemente al 31 maggio 2021, gli obblighi di pubblicazione da attestare, sulla base della griglia di </w:t>
      </w:r>
      <w:proofErr w:type="gramStart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rilevazione</w:t>
      </w:r>
      <w:proofErr w:type="gram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</w:t>
      </w:r>
      <w:proofErr w:type="gramStart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in allegato della citata Delibera ANAC n. 294/2021 e la mappatura degli obblighi di pubblicazione della PCM</w:t>
      </w:r>
      <w:proofErr w:type="gram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. 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Ha successivamente provveduto a 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 xml:space="preserve">fare 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estrarre il 31 maggio 2021 e conservare in una apposita cartella le sottosezioni della sezione “Amministrazione trasparente” oggetto di attestazione. 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E’</w:t>
      </w:r>
      <w:r w:rsid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 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stata quindi </w:t>
      </w:r>
      <w:proofErr w:type="gramStart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effettuata</w:t>
      </w:r>
      <w:proofErr w:type="gram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una verifica dei dati, informazioni e documenti presenti nelle sottosezioni della sezione “Amministrazione trasparente” afferenti agli obblighi di pubblicazione oggetto di attestazione, sulla base delle disposizioni contenute nella Delibera ANAC n. 294/2021 e dei relativi allegati n. 4 e 5.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Si è quindi proceduto alla compilazione della griglia e, in particolare, delle previste c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>elle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.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Si sono svolti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>, successivamente al 31 maggio 2021,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approfondimenti istruttori con alcune Strutture della PCM in merito alle informazioni, dati e documenti oggetto di obbligo di pubblicazione.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Con riguardo alla colonna “apertura formato” della griglia di rilevazione ANAC, le relative informazioni sono state fornite con email del 31 maggio 2021 e 4 giugno 2021 dalla Redazione internet dell’Ufficio stampa di questa Presidenza del Consiglio dei Ministri che provvede alla pubblicazione dei dati che vengono inviati dalle Strutture.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La Redazione internet ha verificato e comunicato a questo Collegio (il 04.06.2021) che la Presidenza del Consiglio dei Ministri non ha disposto filtri e/o altre soluzioni tecniche atte ad impedire ai motori di ricerca web di indicizzare ed effettuare ricerche all’interno della sezione Amministrazione trasparente, salvo le ipotesi consentite dalla normativa vigente.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E’</w:t>
      </w:r>
      <w:r w:rsid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 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stato acquisito, come necessario fondamento dell’attività di verifica:</w:t>
      </w:r>
    </w:p>
    <w:p w:rsidR="000137CD" w:rsidRPr="000137CD" w:rsidRDefault="000137CD" w:rsidP="000137CD">
      <w:pPr>
        <w:pStyle w:val="Paragrafoelenco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rPr>
          <w:rFonts w:ascii="Titillium" w:hAnsi="Titillium"/>
          <w:sz w:val="20"/>
          <w:szCs w:val="20"/>
        </w:rPr>
      </w:pPr>
      <w:r w:rsidRPr="000137CD">
        <w:rPr>
          <w:rFonts w:ascii="Titillium" w:hAnsi="Titillium"/>
          <w:sz w:val="20"/>
          <w:szCs w:val="20"/>
        </w:rPr>
        <w:lastRenderedPageBreak/>
        <w:t xml:space="preserve">la Relazione annuale del Responsabile della prevenzione della corruzione e della trasparenza </w:t>
      </w:r>
      <w:r w:rsidR="000E4AE9">
        <w:rPr>
          <w:rFonts w:ascii="Titillium" w:hAnsi="Titillium"/>
          <w:sz w:val="20"/>
          <w:szCs w:val="20"/>
        </w:rPr>
        <w:t>dell</w:t>
      </w:r>
      <w:r w:rsidRPr="000137CD">
        <w:rPr>
          <w:rFonts w:ascii="Titillium" w:hAnsi="Titillium"/>
          <w:sz w:val="20"/>
          <w:szCs w:val="20"/>
        </w:rPr>
        <w:t xml:space="preserve">a PCM in merito all’adempimento degli obblighi di pubblicazione nell’anno 2020, già trasmessa al Collegio </w:t>
      </w:r>
      <w:r w:rsidR="000E4AE9">
        <w:rPr>
          <w:rFonts w:ascii="Titillium" w:hAnsi="Titillium"/>
          <w:sz w:val="20"/>
          <w:szCs w:val="20"/>
        </w:rPr>
        <w:t xml:space="preserve">di direzione dell’UCI </w:t>
      </w:r>
      <w:r w:rsidRPr="000137CD">
        <w:rPr>
          <w:rFonts w:ascii="Titillium" w:hAnsi="Titillium"/>
          <w:sz w:val="20"/>
          <w:szCs w:val="20"/>
        </w:rPr>
        <w:t>in data 28/12/2020;</w:t>
      </w:r>
    </w:p>
    <w:p w:rsidR="000137CD" w:rsidRPr="000137CD" w:rsidRDefault="000137CD" w:rsidP="000137CD">
      <w:pPr>
        <w:pStyle w:val="Paragrafoelenco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rPr>
          <w:rFonts w:ascii="Titillium" w:hAnsi="Titillium"/>
          <w:sz w:val="20"/>
          <w:szCs w:val="20"/>
        </w:rPr>
      </w:pPr>
      <w:proofErr w:type="gramStart"/>
      <w:r w:rsidRPr="000137CD">
        <w:rPr>
          <w:rFonts w:ascii="Titillium" w:hAnsi="Titillium"/>
          <w:sz w:val="20"/>
          <w:szCs w:val="20"/>
        </w:rPr>
        <w:t>la</w:t>
      </w:r>
      <w:proofErr w:type="gramEnd"/>
      <w:r w:rsidRPr="000137CD">
        <w:rPr>
          <w:rFonts w:ascii="Titillium" w:hAnsi="Titillium"/>
          <w:sz w:val="20"/>
          <w:szCs w:val="20"/>
        </w:rPr>
        <w:t xml:space="preserve"> Relazione in esito alla procedura di controllo degli adempimenti in materia di trasparenza di cui al </w:t>
      </w:r>
      <w:proofErr w:type="spellStart"/>
      <w:r w:rsidRPr="000137CD">
        <w:rPr>
          <w:rFonts w:ascii="Titillium" w:hAnsi="Titillium"/>
          <w:sz w:val="20"/>
          <w:szCs w:val="20"/>
        </w:rPr>
        <w:t>D.Lgs.</w:t>
      </w:r>
      <w:proofErr w:type="spellEnd"/>
      <w:r w:rsidRPr="000137CD">
        <w:rPr>
          <w:rFonts w:ascii="Titillium" w:hAnsi="Titillium"/>
          <w:sz w:val="20"/>
          <w:szCs w:val="20"/>
        </w:rPr>
        <w:t xml:space="preserve"> n. 33/2013 (sorteggio del 14/10/2020</w:t>
      </w:r>
      <w:r w:rsidR="000E4AE9">
        <w:rPr>
          <w:rFonts w:ascii="Titillium" w:hAnsi="Titillium"/>
          <w:sz w:val="20"/>
          <w:szCs w:val="20"/>
        </w:rPr>
        <w:t>).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La verifica dei dati pubblicati sul sito istituzionale è avvenuta, previa istruttoria, mediante riscontro dei dati pubblicati nelle sottosezioni. Relativamente ad alcune verifiche è stato effettuato un riscontro a campione. 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Il punteggio attribuito nelle 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 xml:space="preserve">celle </w:t>
      </w:r>
      <w:proofErr w:type="gramStart"/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 xml:space="preserve">delle 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colonne “Aggiornamento” 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 xml:space="preserve">e 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“Apertura formato</w:t>
      </w:r>
      <w:proofErr w:type="gram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” fa riferimento al livello di aggiornamento delle informazioni e all’apertura formato effettivamente pubblicati nella colonna “Completezza del contenuto”. 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Il Collegio rimanda alle precedenti attestazioni in merito al particolare ciclo della </w:t>
      </w:r>
      <w:r w:rsidRPr="00E63D64">
        <w:rPr>
          <w:rFonts w:ascii="Titillium" w:eastAsia="Times New Roman" w:hAnsi="Titillium" w:cs="Cambria"/>
          <w:i/>
          <w:sz w:val="20"/>
          <w:szCs w:val="20"/>
          <w:lang w:eastAsia="ar-SA"/>
        </w:rPr>
        <w:t>performance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di </w:t>
      </w:r>
      <w:proofErr w:type="gramStart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questa</w:t>
      </w:r>
      <w:proofErr w:type="gram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Amministrazione 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 xml:space="preserve">disciplinato nel 2020 dal 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DPCM n. 131 del 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 xml:space="preserve">25 maggio 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2011, emanato in ragione dell’art. 74, comma </w:t>
      </w:r>
      <w:proofErr w:type="gramStart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3</w:t>
      </w:r>
      <w:proofErr w:type="gram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del </w:t>
      </w:r>
      <w:proofErr w:type="spellStart"/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>D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.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>L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gs.</w:t>
      </w:r>
      <w:proofErr w:type="spell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 xml:space="preserve">27 ottobre 2009 </w:t>
      </w:r>
      <w:r w:rsidR="00E63D64">
        <w:rPr>
          <w:rFonts w:ascii="Titillium" w:eastAsia="Times New Roman" w:hAnsi="Titillium" w:cs="Cambria"/>
          <w:sz w:val="20"/>
          <w:szCs w:val="20"/>
          <w:lang w:eastAsia="ar-SA"/>
        </w:rPr>
        <w:t>n. 150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) e con riguardo agli adempimenti relativi alla trasparenza (DPCM 20 dicembre 2013 e ss. mm. emanato in attuazione del comma 2 dell’art. 49 del </w:t>
      </w:r>
      <w:proofErr w:type="spellStart"/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>D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.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>L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gs.</w:t>
      </w:r>
      <w:proofErr w:type="spell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</w:t>
      </w:r>
      <w:r w:rsidR="000E4AE9">
        <w:rPr>
          <w:rFonts w:ascii="Titillium" w:eastAsia="Times New Roman" w:hAnsi="Titillium" w:cs="Cambria"/>
          <w:sz w:val="20"/>
          <w:szCs w:val="20"/>
          <w:lang w:eastAsia="ar-SA"/>
        </w:rPr>
        <w:t xml:space="preserve">14 marzo 2013 </w:t>
      </w:r>
      <w:r w:rsidR="00E63D64">
        <w:rPr>
          <w:rFonts w:ascii="Titillium" w:eastAsia="Times New Roman" w:hAnsi="Titillium" w:cs="Cambria"/>
          <w:sz w:val="20"/>
          <w:szCs w:val="20"/>
          <w:lang w:eastAsia="ar-SA"/>
        </w:rPr>
        <w:t>n. 33</w:t>
      </w:r>
      <w:proofErr w:type="gramStart"/>
      <w:r w:rsidR="00E63D64">
        <w:rPr>
          <w:rFonts w:ascii="Titillium" w:eastAsia="Times New Roman" w:hAnsi="Titillium" w:cs="Cambria"/>
          <w:sz w:val="20"/>
          <w:szCs w:val="20"/>
          <w:lang w:eastAsia="ar-SA"/>
        </w:rPr>
        <w:t>).</w:t>
      </w:r>
      <w:proofErr w:type="gram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Il Collegio fa presente che con DPCM 28 dicembre 2020, n. 185 recante &lt;&lt;</w:t>
      </w:r>
      <w:r w:rsidRPr="000E4AE9">
        <w:rPr>
          <w:rFonts w:ascii="Titillium" w:eastAsia="Times New Roman" w:hAnsi="Titillium" w:cs="Cambria"/>
          <w:i/>
          <w:sz w:val="20"/>
          <w:szCs w:val="20"/>
          <w:lang w:eastAsia="ar-SA"/>
        </w:rPr>
        <w:t>Regolamento recante attuazione dell'articolo 74, comma 3, del decreto legislativo 27 ottobre 2009, n. 150, in relazione ai Titoli II e III del medesimo decreto legislativo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.&gt;&gt; </w:t>
      </w:r>
      <w:hyperlink r:id="rId6" w:tgtFrame="_blank" w:history="1">
        <w:r w:rsidRPr="000137CD">
          <w:rPr>
            <w:rFonts w:ascii="Titillium" w:eastAsia="Times New Roman" w:hAnsi="Titillium" w:cs="Cambria"/>
            <w:sz w:val="20"/>
            <w:szCs w:val="20"/>
            <w:lang w:eastAsia="ar-SA"/>
          </w:rPr>
          <w:t>(GU Serie Generale n.10 del 14.01.2021)</w:t>
        </w:r>
      </w:hyperlink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è stato abrogato il DPCM 131/2011, le cui disposizioni continuano a trovare applicazione per il  completamento delle attività di valutazione relative all'anno 2020. 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Con DPCM 26 marzo 2021 registrato alla Corte dei conti al n. 939 in data 23 aprile </w:t>
      </w:r>
      <w:proofErr w:type="gramStart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2021</w:t>
      </w:r>
      <w:proofErr w:type="gramEnd"/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 xml:space="preserve"> è stato adottato un nuovo &lt;&lt;</w:t>
      </w:r>
      <w:r w:rsidRPr="000E4AE9">
        <w:rPr>
          <w:rFonts w:ascii="Titillium" w:eastAsia="Times New Roman" w:hAnsi="Titillium" w:cs="Cambria"/>
          <w:i/>
          <w:sz w:val="20"/>
          <w:szCs w:val="20"/>
          <w:lang w:eastAsia="ar-SA"/>
        </w:rPr>
        <w:t>Sistema di misurazione e valutazione della performance dei dirigenti della Presidenza del Consiglio dei Ministri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&gt;&gt; e il &lt;&lt;</w:t>
      </w:r>
      <w:r w:rsidRPr="000E4AE9">
        <w:rPr>
          <w:rFonts w:ascii="Titillium" w:eastAsia="Times New Roman" w:hAnsi="Titillium" w:cs="Cambria"/>
          <w:i/>
          <w:sz w:val="20"/>
          <w:szCs w:val="20"/>
          <w:lang w:eastAsia="ar-SA"/>
        </w:rPr>
        <w:t>Sistema di misurazione e valutazione della performance del personale non dirigenziale della Presidenza del Consiglio dei Ministri</w:t>
      </w:r>
      <w:r w:rsidRPr="000137CD">
        <w:rPr>
          <w:rFonts w:ascii="Titillium" w:eastAsia="Times New Roman" w:hAnsi="Titillium" w:cs="Cambria"/>
          <w:sz w:val="20"/>
          <w:szCs w:val="20"/>
          <w:lang w:eastAsia="ar-SA"/>
        </w:rPr>
        <w:t>&gt;&gt;, per attualizzarli ai contenuti del DPCM 185/2020 (V. http://presidenza.governo.it/AmministrazioneTrasparente/Performance/index.html)</w:t>
      </w:r>
      <w:r w:rsidR="000B1019">
        <w:rPr>
          <w:rFonts w:ascii="Titillium" w:eastAsia="Times New Roman" w:hAnsi="Titillium" w:cs="Cambria"/>
          <w:sz w:val="20"/>
          <w:szCs w:val="20"/>
          <w:lang w:eastAsia="ar-SA"/>
        </w:rPr>
        <w:t>.</w:t>
      </w:r>
    </w:p>
    <w:p w:rsidR="000137CD" w:rsidRDefault="00627C5E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>
        <w:rPr>
          <w:rFonts w:ascii="Titillium" w:eastAsia="Times New Roman" w:hAnsi="Titillium" w:cs="Cambria"/>
          <w:sz w:val="20"/>
          <w:szCs w:val="20"/>
          <w:lang w:eastAsia="ar-SA"/>
        </w:rPr>
        <w:t xml:space="preserve">L’art. 2 della 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 xml:space="preserve">Ordinanza del Capo </w:t>
      </w:r>
      <w:r>
        <w:rPr>
          <w:rFonts w:ascii="Titillium" w:eastAsia="Times New Roman" w:hAnsi="Titillium" w:cs="Cambria"/>
          <w:sz w:val="20"/>
          <w:szCs w:val="20"/>
          <w:lang w:eastAsia="ar-SA"/>
        </w:rPr>
        <w:t xml:space="preserve">del 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 xml:space="preserve">Dipartimento </w:t>
      </w:r>
      <w:r>
        <w:rPr>
          <w:rFonts w:ascii="Titillium" w:eastAsia="Times New Roman" w:hAnsi="Titillium" w:cs="Cambria"/>
          <w:sz w:val="20"/>
          <w:szCs w:val="20"/>
          <w:lang w:eastAsia="ar-SA"/>
        </w:rPr>
        <w:t xml:space="preserve">della 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>Protezione civile 01</w:t>
      </w:r>
      <w:r>
        <w:rPr>
          <w:rFonts w:ascii="Titillium" w:eastAsia="Times New Roman" w:hAnsi="Titillium" w:cs="Cambria"/>
          <w:sz w:val="20"/>
          <w:szCs w:val="20"/>
          <w:lang w:eastAsia="ar-SA"/>
        </w:rPr>
        <w:t xml:space="preserve"> aprile 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>2020, n. 659</w:t>
      </w:r>
      <w:r>
        <w:rPr>
          <w:rFonts w:ascii="Titillium" w:eastAsia="Times New Roman" w:hAnsi="Titillium" w:cs="Cambria"/>
          <w:sz w:val="20"/>
          <w:szCs w:val="20"/>
          <w:lang w:eastAsia="ar-SA"/>
        </w:rPr>
        <w:t xml:space="preserve">, 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>prevede una normativa eccezionale, disponendo la sospensione degli adempimenti di trasparenza e di prevenzione della corruzione per il predetto Dipartimento, sino a trenta giorni dopo la cessazione dello stato di emergenza per COVID-19. Lo stato di emergenza è stato prorogato al 31</w:t>
      </w:r>
      <w:r>
        <w:rPr>
          <w:rFonts w:ascii="Titillium" w:eastAsia="Times New Roman" w:hAnsi="Titillium" w:cs="Cambria"/>
          <w:sz w:val="20"/>
          <w:szCs w:val="20"/>
          <w:lang w:eastAsia="ar-SA"/>
        </w:rPr>
        <w:t xml:space="preserve"> luglio 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 xml:space="preserve">2021 con Delibera del </w:t>
      </w:r>
      <w:proofErr w:type="gramStart"/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>Consiglio dei ministri</w:t>
      </w:r>
      <w:proofErr w:type="gramEnd"/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 xml:space="preserve"> del 21.04. 2021.</w:t>
      </w:r>
    </w:p>
    <w:p w:rsidR="00F93969" w:rsidRPr="00E63D64" w:rsidRDefault="00670515" w:rsidP="00F93969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Con riguardo alle pubblicazioni di cui al comma </w:t>
      </w:r>
      <w:r w:rsidRPr="00670515">
        <w:rPr>
          <w:rFonts w:ascii="Titillium" w:eastAsia="Times New Roman" w:hAnsi="Titillium" w:cs="Cambria"/>
          <w:sz w:val="20"/>
          <w:szCs w:val="20"/>
          <w:lang w:eastAsia="ar-SA"/>
        </w:rPr>
        <w:t>4</w:t>
      </w:r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, </w:t>
      </w:r>
      <w:proofErr w:type="spellStart"/>
      <w:proofErr w:type="gramStart"/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>lett</w:t>
      </w:r>
      <w:proofErr w:type="spellEnd"/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>.</w:t>
      </w:r>
      <w:proofErr w:type="gramEnd"/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 a) e c) dell’art. 14 del </w:t>
      </w:r>
      <w:proofErr w:type="spellStart"/>
      <w:proofErr w:type="gramStart"/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>D.Lgs</w:t>
      </w:r>
      <w:proofErr w:type="spellEnd"/>
      <w:proofErr w:type="gramEnd"/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 150/2009, in ragione del DPCM 131/2011 e del successivo DPCM 185/2020, il Collegio di direzione </w:t>
      </w:r>
      <w:r w:rsidRPr="00670515">
        <w:rPr>
          <w:rFonts w:ascii="Titillium" w:eastAsia="Times New Roman" w:hAnsi="Titillium" w:cs="Cambria"/>
          <w:sz w:val="20"/>
          <w:szCs w:val="20"/>
          <w:lang w:eastAsia="ar-SA"/>
        </w:rPr>
        <w:t>monitora il funzionamento complessivo del sistema della valutazione, della trasparenza e integrità dei controlli interni</w:t>
      </w:r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, </w:t>
      </w:r>
      <w:r w:rsidR="00F93969" w:rsidRPr="00E63D64">
        <w:rPr>
          <w:rFonts w:ascii="Titillium" w:eastAsia="Times New Roman" w:hAnsi="Titillium" w:cs="Cambria"/>
          <w:sz w:val="20"/>
          <w:szCs w:val="20"/>
          <w:lang w:eastAsia="ar-SA"/>
        </w:rPr>
        <w:t>questi ultimi</w:t>
      </w:r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 sulla base delle informazioni trasmesse dal RPCT, </w:t>
      </w:r>
      <w:r w:rsidRPr="00670515">
        <w:rPr>
          <w:rFonts w:ascii="Titillium" w:eastAsia="Times New Roman" w:hAnsi="Titillium" w:cs="Cambria"/>
          <w:sz w:val="20"/>
          <w:szCs w:val="20"/>
          <w:lang w:eastAsia="ar-SA"/>
        </w:rPr>
        <w:t xml:space="preserve">anche formulando proposte e raccomandazioni ai vertici amministrativi. </w:t>
      </w:r>
      <w:r w:rsidR="00F93969" w:rsidRPr="00E63D64">
        <w:rPr>
          <w:rFonts w:ascii="Titillium" w:eastAsia="Times New Roman" w:hAnsi="Titillium" w:cs="Cambria"/>
          <w:sz w:val="20"/>
          <w:szCs w:val="20"/>
          <w:lang w:eastAsia="ar-SA"/>
        </w:rPr>
        <w:t>Il Collegio di direzione</w:t>
      </w:r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, sulla base del comma </w:t>
      </w:r>
      <w:proofErr w:type="gramStart"/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>4</w:t>
      </w:r>
      <w:proofErr w:type="gramEnd"/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>, dell’</w:t>
      </w:r>
      <w:r w:rsidR="00F93969"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art. </w:t>
      </w:r>
      <w:proofErr w:type="gramStart"/>
      <w:r w:rsidR="00F93969" w:rsidRPr="00E63D64">
        <w:rPr>
          <w:rFonts w:ascii="Titillium" w:eastAsia="Times New Roman" w:hAnsi="Titillium" w:cs="Cambria"/>
          <w:sz w:val="20"/>
          <w:szCs w:val="20"/>
          <w:lang w:eastAsia="ar-SA"/>
        </w:rPr>
        <w:t>3,</w:t>
      </w:r>
      <w:proofErr w:type="gramEnd"/>
      <w:r w:rsidR="00F93969"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 del DPCM 131/2011 fornisce, agli organi di indirizzo </w:t>
      </w:r>
      <w:r w:rsidR="00F93969" w:rsidRPr="00670515">
        <w:rPr>
          <w:rFonts w:ascii="Titillium" w:eastAsia="Times New Roman" w:hAnsi="Titillium" w:cs="Cambria"/>
          <w:sz w:val="20"/>
          <w:szCs w:val="20"/>
          <w:lang w:eastAsia="ar-SA"/>
        </w:rPr>
        <w:t>politico-amministrativo</w:t>
      </w:r>
      <w:r w:rsidR="00F93969"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 della PCM gli elementi per la pubblicazione, e</w:t>
      </w:r>
      <w:r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ntro il   mese di marzo, </w:t>
      </w:r>
      <w:r w:rsidR="00F93969" w:rsidRPr="00E63D64">
        <w:rPr>
          <w:rFonts w:ascii="Titillium" w:eastAsia="Times New Roman" w:hAnsi="Titillium" w:cs="Cambria"/>
          <w:sz w:val="20"/>
          <w:szCs w:val="20"/>
          <w:lang w:eastAsia="ar-SA"/>
        </w:rPr>
        <w:t>de</w:t>
      </w:r>
      <w:r w:rsidR="00F93969" w:rsidRPr="00670515">
        <w:rPr>
          <w:rFonts w:ascii="Titillium" w:eastAsia="Times New Roman" w:hAnsi="Titillium" w:cs="Cambria"/>
          <w:sz w:val="20"/>
          <w:szCs w:val="20"/>
          <w:lang w:eastAsia="ar-SA"/>
        </w:rPr>
        <w:t>i risultati organizzativi  e  individuali  raggiunti  rispetto  ai</w:t>
      </w:r>
      <w:r w:rsidR="00F93969" w:rsidRPr="00E63D64">
        <w:rPr>
          <w:rFonts w:ascii="Titillium" w:eastAsia="Times New Roman" w:hAnsi="Titillium" w:cs="Cambria"/>
          <w:sz w:val="20"/>
          <w:szCs w:val="20"/>
          <w:lang w:eastAsia="ar-SA"/>
        </w:rPr>
        <w:t xml:space="preserve"> singoli obiettivi programmati e alle risorse. Questa pubblicazione sostituisce nella PCM la Relazione sulla performance. Analoga previsione è contenuta nel DPCM 185/2020. Nella griglia di rilevazione, attenendoci al </w:t>
      </w:r>
      <w:r w:rsidR="00F93969" w:rsidRPr="00E63D64">
        <w:rPr>
          <w:rFonts w:ascii="Titillium" w:eastAsia="Times New Roman" w:hAnsi="Titillium" w:cs="Cambria"/>
          <w:sz w:val="20"/>
          <w:szCs w:val="20"/>
          <w:lang w:eastAsia="ar-SA"/>
        </w:rPr>
        <w:lastRenderedPageBreak/>
        <w:t>contenuto letterale dell’obbligo, si è riportato N/A, fornendo in questa sede le opportune delucidazioni.</w:t>
      </w:r>
    </w:p>
    <w:p w:rsidR="00627C5E" w:rsidRPr="000137CD" w:rsidRDefault="00627C5E" w:rsidP="00627C5E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</w:p>
    <w:p w:rsidR="000137CD" w:rsidRPr="00E63D64" w:rsidRDefault="000137CD" w:rsidP="00627C5E">
      <w:pPr>
        <w:jc w:val="both"/>
        <w:rPr>
          <w:rFonts w:ascii="Titillium" w:eastAsia="Times New Roman" w:hAnsi="Titillium" w:cs="Cambria"/>
          <w:b/>
          <w:i/>
          <w:sz w:val="20"/>
          <w:szCs w:val="20"/>
          <w:lang w:eastAsia="ar-SA"/>
        </w:rPr>
      </w:pPr>
      <w:r w:rsidRPr="00E63D64">
        <w:rPr>
          <w:rFonts w:ascii="Titillium" w:eastAsia="Times New Roman" w:hAnsi="Titillium" w:cs="Cambria"/>
          <w:b/>
          <w:i/>
          <w:sz w:val="20"/>
          <w:szCs w:val="20"/>
          <w:lang w:eastAsia="ar-SA"/>
        </w:rPr>
        <w:t xml:space="preserve">Aspetti critici riscontrati nel corso della </w:t>
      </w:r>
      <w:proofErr w:type="gramStart"/>
      <w:r w:rsidRPr="00E63D64">
        <w:rPr>
          <w:rFonts w:ascii="Titillium" w:eastAsia="Times New Roman" w:hAnsi="Titillium" w:cs="Cambria"/>
          <w:b/>
          <w:i/>
          <w:sz w:val="20"/>
          <w:szCs w:val="20"/>
          <w:lang w:eastAsia="ar-SA"/>
        </w:rPr>
        <w:t>rilevazione</w:t>
      </w:r>
      <w:proofErr w:type="gramEnd"/>
    </w:p>
    <w:p w:rsidR="000137CD" w:rsidRPr="000137CD" w:rsidRDefault="00627C5E" w:rsidP="00627C5E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  <w:r>
        <w:rPr>
          <w:rFonts w:ascii="Titillium" w:eastAsia="Times New Roman" w:hAnsi="Titillium" w:cs="Cambria"/>
          <w:sz w:val="20"/>
          <w:szCs w:val="20"/>
          <w:lang w:eastAsia="ar-SA"/>
        </w:rPr>
        <w:t xml:space="preserve">Lo specifico 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 xml:space="preserve">database </w:t>
      </w:r>
      <w:r>
        <w:rPr>
          <w:rFonts w:ascii="Titillium" w:eastAsia="Times New Roman" w:hAnsi="Titillium" w:cs="Cambria"/>
          <w:sz w:val="20"/>
          <w:szCs w:val="20"/>
          <w:lang w:eastAsia="ar-SA"/>
        </w:rPr>
        <w:t>“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 xml:space="preserve">Resoconti della gestione finanziaria dei contratti al termine </w:t>
      </w:r>
      <w:proofErr w:type="gramStart"/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>della</w:t>
      </w:r>
      <w:proofErr w:type="gramEnd"/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 xml:space="preserve"> loro esecuzione</w:t>
      </w:r>
      <w:r>
        <w:rPr>
          <w:rFonts w:ascii="Titillium" w:eastAsia="Times New Roman" w:hAnsi="Titillium" w:cs="Cambria"/>
          <w:sz w:val="20"/>
          <w:szCs w:val="20"/>
          <w:lang w:eastAsia="ar-SA"/>
        </w:rPr>
        <w:t>” è in attesa di completamento e si rimanda alle singole procedure. Le erogazioni sono r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>icostruibil</w:t>
      </w:r>
      <w:r>
        <w:rPr>
          <w:rFonts w:ascii="Titillium" w:eastAsia="Times New Roman" w:hAnsi="Titillium" w:cs="Cambria"/>
          <w:sz w:val="20"/>
          <w:szCs w:val="20"/>
          <w:lang w:eastAsia="ar-SA"/>
        </w:rPr>
        <w:t>i</w:t>
      </w:r>
      <w:r w:rsidRPr="00627C5E">
        <w:rPr>
          <w:rFonts w:ascii="Titillium" w:eastAsia="Times New Roman" w:hAnsi="Titillium" w:cs="Cambria"/>
          <w:sz w:val="20"/>
          <w:szCs w:val="20"/>
          <w:lang w:eastAsia="ar-SA"/>
        </w:rPr>
        <w:t xml:space="preserve"> dalla sottosezione "pagamenti"</w:t>
      </w:r>
      <w:r w:rsidR="000B1019">
        <w:rPr>
          <w:rFonts w:ascii="Titillium" w:eastAsia="Times New Roman" w:hAnsi="Titillium" w:cs="Cambria"/>
          <w:sz w:val="20"/>
          <w:szCs w:val="20"/>
          <w:lang w:eastAsia="ar-SA"/>
        </w:rPr>
        <w:t>.</w:t>
      </w:r>
    </w:p>
    <w:p w:rsidR="000137CD" w:rsidRPr="000137CD" w:rsidRDefault="000137CD" w:rsidP="00627C5E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</w:p>
    <w:p w:rsidR="00B96E2A" w:rsidRDefault="005E5FE2" w:rsidP="00B96E2A">
      <w:pPr>
        <w:keepNext/>
        <w:widowControl w:val="0"/>
        <w:tabs>
          <w:tab w:val="center" w:pos="4819"/>
          <w:tab w:val="right" w:pos="9638"/>
        </w:tabs>
        <w:suppressAutoHyphens/>
        <w:spacing w:line="100" w:lineRule="atLeast"/>
        <w:jc w:val="center"/>
        <w:rPr>
          <w:rFonts w:ascii="Titillium" w:hAnsi="Titillium"/>
          <w:sz w:val="20"/>
        </w:rPr>
      </w:pPr>
      <w:r>
        <w:rPr>
          <w:rFonts w:ascii="Titillium" w:hAnsi="Titillium"/>
          <w:sz w:val="20"/>
        </w:rPr>
        <w:tab/>
      </w:r>
      <w:r w:rsidR="00B96E2A">
        <w:rPr>
          <w:rFonts w:ascii="Titillium" w:hAnsi="Titillium"/>
          <w:sz w:val="20"/>
        </w:rPr>
        <w:t xml:space="preserve">F.to </w:t>
      </w:r>
      <w:proofErr w:type="spellStart"/>
      <w:proofErr w:type="gramStart"/>
      <w:r w:rsidR="00B96E2A">
        <w:rPr>
          <w:rFonts w:ascii="Titillium" w:hAnsi="Titillium"/>
          <w:sz w:val="20"/>
        </w:rPr>
        <w:t>Cons</w:t>
      </w:r>
      <w:proofErr w:type="spellEnd"/>
      <w:r w:rsidR="00B96E2A">
        <w:rPr>
          <w:rFonts w:ascii="Titillium" w:hAnsi="Titillium"/>
          <w:sz w:val="20"/>
        </w:rPr>
        <w:t>.</w:t>
      </w:r>
      <w:proofErr w:type="gramEnd"/>
      <w:r w:rsidR="00B96E2A">
        <w:rPr>
          <w:rFonts w:ascii="Titillium" w:hAnsi="Titillium"/>
          <w:sz w:val="20"/>
        </w:rPr>
        <w:t xml:space="preserve"> Patrizia De Rose</w:t>
      </w:r>
    </w:p>
    <w:p w:rsidR="00B96E2A" w:rsidRDefault="005E5FE2" w:rsidP="00B96E2A">
      <w:pPr>
        <w:keepNext/>
        <w:widowControl w:val="0"/>
        <w:tabs>
          <w:tab w:val="center" w:pos="4819"/>
          <w:tab w:val="right" w:pos="9638"/>
        </w:tabs>
        <w:suppressAutoHyphens/>
        <w:spacing w:line="100" w:lineRule="atLeast"/>
        <w:jc w:val="center"/>
        <w:rPr>
          <w:rFonts w:ascii="Titillium" w:hAnsi="Titillium"/>
          <w:sz w:val="20"/>
        </w:rPr>
      </w:pPr>
      <w:r>
        <w:rPr>
          <w:rFonts w:ascii="Titillium" w:hAnsi="Titillium"/>
          <w:sz w:val="20"/>
        </w:rPr>
        <w:tab/>
        <w:t xml:space="preserve">          </w:t>
      </w:r>
      <w:r w:rsidR="00B96E2A">
        <w:rPr>
          <w:rFonts w:ascii="Titillium" w:hAnsi="Titillium"/>
          <w:sz w:val="20"/>
        </w:rPr>
        <w:t xml:space="preserve">Presidente del Collegio di direzione </w:t>
      </w:r>
      <w:proofErr w:type="gramStart"/>
      <w:r w:rsidR="00B96E2A">
        <w:rPr>
          <w:rFonts w:ascii="Titillium" w:hAnsi="Titillium"/>
          <w:sz w:val="20"/>
        </w:rPr>
        <w:t>dell’</w:t>
      </w:r>
      <w:proofErr w:type="gramEnd"/>
      <w:r w:rsidR="00B96E2A">
        <w:rPr>
          <w:rFonts w:ascii="Titillium" w:hAnsi="Titillium"/>
          <w:sz w:val="20"/>
        </w:rPr>
        <w:t>UCI</w:t>
      </w:r>
    </w:p>
    <w:p w:rsidR="00B96E2A" w:rsidRDefault="00B96E2A" w:rsidP="00B96E2A">
      <w:pPr>
        <w:keepNext/>
        <w:widowControl w:val="0"/>
        <w:tabs>
          <w:tab w:val="center" w:pos="4819"/>
          <w:tab w:val="right" w:pos="9638"/>
        </w:tabs>
        <w:suppressAutoHyphens/>
        <w:spacing w:line="100" w:lineRule="atLeast"/>
        <w:jc w:val="center"/>
        <w:rPr>
          <w:rFonts w:ascii="Titillium" w:hAnsi="Titillium"/>
          <w:sz w:val="20"/>
        </w:rPr>
      </w:pPr>
    </w:p>
    <w:p w:rsidR="00B96E2A" w:rsidRDefault="00B96E2A" w:rsidP="00B96E2A">
      <w:pPr>
        <w:keepNext/>
        <w:widowControl w:val="0"/>
        <w:tabs>
          <w:tab w:val="center" w:pos="4819"/>
          <w:tab w:val="right" w:pos="9638"/>
        </w:tabs>
        <w:suppressAutoHyphens/>
        <w:spacing w:line="100" w:lineRule="atLeast"/>
        <w:jc w:val="center"/>
        <w:rPr>
          <w:rFonts w:ascii="Titillium" w:hAnsi="Titillium"/>
          <w:sz w:val="20"/>
        </w:rPr>
      </w:pPr>
    </w:p>
    <w:p w:rsidR="00B96E2A" w:rsidRDefault="00B96E2A" w:rsidP="00B96E2A">
      <w:pPr>
        <w:keepNext/>
        <w:widowControl w:val="0"/>
        <w:tabs>
          <w:tab w:val="center" w:pos="4819"/>
          <w:tab w:val="right" w:pos="9638"/>
        </w:tabs>
        <w:suppressAutoHyphens/>
        <w:spacing w:line="100" w:lineRule="atLeast"/>
        <w:jc w:val="center"/>
        <w:rPr>
          <w:rFonts w:ascii="Titillium" w:hAnsi="Titillium"/>
          <w:sz w:val="20"/>
        </w:rPr>
      </w:pPr>
    </w:p>
    <w:p w:rsidR="005E5FE2" w:rsidRDefault="005E5FE2" w:rsidP="00B96E2A">
      <w:pPr>
        <w:keepNext/>
        <w:widowControl w:val="0"/>
        <w:tabs>
          <w:tab w:val="center" w:pos="4819"/>
          <w:tab w:val="right" w:pos="9638"/>
        </w:tabs>
        <w:suppressAutoHyphens/>
        <w:spacing w:line="100" w:lineRule="atLeast"/>
        <w:jc w:val="center"/>
        <w:rPr>
          <w:rFonts w:ascii="Titillium" w:hAnsi="Titillium"/>
          <w:sz w:val="20"/>
        </w:rPr>
      </w:pPr>
    </w:p>
    <w:p w:rsidR="00B96E2A" w:rsidRDefault="00B96E2A" w:rsidP="00B96E2A">
      <w:pPr>
        <w:keepNext/>
        <w:widowControl w:val="0"/>
        <w:tabs>
          <w:tab w:val="center" w:pos="4819"/>
          <w:tab w:val="right" w:pos="9638"/>
        </w:tabs>
        <w:suppressAutoHyphens/>
        <w:spacing w:line="100" w:lineRule="atLeast"/>
        <w:jc w:val="center"/>
        <w:rPr>
          <w:rFonts w:ascii="Titillium" w:hAnsi="Titillium"/>
          <w:sz w:val="20"/>
        </w:rPr>
      </w:pPr>
    </w:p>
    <w:p w:rsidR="00B96E2A" w:rsidRDefault="005E5FE2" w:rsidP="00B96E2A">
      <w:pPr>
        <w:keepNext/>
        <w:widowControl w:val="0"/>
        <w:tabs>
          <w:tab w:val="center" w:pos="4819"/>
          <w:tab w:val="right" w:pos="9638"/>
        </w:tabs>
        <w:suppressAutoHyphens/>
        <w:spacing w:line="100" w:lineRule="atLeast"/>
        <w:jc w:val="center"/>
        <w:rPr>
          <w:rFonts w:ascii="Titillium" w:hAnsi="Titillium"/>
          <w:sz w:val="20"/>
        </w:rPr>
      </w:pPr>
      <w:r>
        <w:rPr>
          <w:rFonts w:ascii="Titillium" w:hAnsi="Titillium"/>
          <w:sz w:val="20"/>
        </w:rPr>
        <w:tab/>
      </w:r>
      <w:r w:rsidR="00B96E2A">
        <w:rPr>
          <w:rFonts w:ascii="Titillium" w:hAnsi="Titillium"/>
          <w:sz w:val="20"/>
        </w:rPr>
        <w:t xml:space="preserve">F.to </w:t>
      </w:r>
      <w:proofErr w:type="spellStart"/>
      <w:proofErr w:type="gramStart"/>
      <w:r w:rsidR="00B96E2A">
        <w:rPr>
          <w:rFonts w:ascii="Titillium" w:hAnsi="Titillium"/>
          <w:sz w:val="20"/>
        </w:rPr>
        <w:t>Cons</w:t>
      </w:r>
      <w:proofErr w:type="spellEnd"/>
      <w:r w:rsidR="00B96E2A">
        <w:rPr>
          <w:rFonts w:ascii="Titillium" w:hAnsi="Titillium"/>
          <w:sz w:val="20"/>
        </w:rPr>
        <w:t>.</w:t>
      </w:r>
      <w:proofErr w:type="gramEnd"/>
      <w:r w:rsidR="00B96E2A">
        <w:rPr>
          <w:rFonts w:ascii="Titillium" w:hAnsi="Titillium"/>
          <w:sz w:val="20"/>
        </w:rPr>
        <w:t xml:space="preserve"> Paolo </w:t>
      </w:r>
      <w:proofErr w:type="spellStart"/>
      <w:r w:rsidR="00B96E2A">
        <w:rPr>
          <w:rFonts w:ascii="Titillium" w:hAnsi="Titillium"/>
          <w:sz w:val="20"/>
        </w:rPr>
        <w:t>Naccarato</w:t>
      </w:r>
      <w:proofErr w:type="spellEnd"/>
    </w:p>
    <w:p w:rsidR="00B96E2A" w:rsidRDefault="00B96E2A" w:rsidP="00B96E2A">
      <w:pPr>
        <w:keepNext/>
        <w:widowControl w:val="0"/>
        <w:tabs>
          <w:tab w:val="center" w:pos="4819"/>
          <w:tab w:val="right" w:pos="9638"/>
        </w:tabs>
        <w:suppressAutoHyphens/>
        <w:spacing w:line="100" w:lineRule="atLeast"/>
        <w:jc w:val="center"/>
        <w:rPr>
          <w:rFonts w:ascii="Titillium" w:hAnsi="Titillium"/>
          <w:sz w:val="20"/>
        </w:rPr>
      </w:pPr>
      <w:r>
        <w:rPr>
          <w:rFonts w:ascii="Titillium" w:hAnsi="Titillium"/>
          <w:sz w:val="20"/>
        </w:rPr>
        <w:tab/>
      </w:r>
      <w:r w:rsidR="005E5FE2">
        <w:rPr>
          <w:rFonts w:ascii="Titillium" w:hAnsi="Titillium"/>
          <w:sz w:val="20"/>
        </w:rPr>
        <w:t xml:space="preserve">        </w:t>
      </w:r>
      <w:proofErr w:type="gramStart"/>
      <w:r>
        <w:rPr>
          <w:rFonts w:ascii="Titillium" w:hAnsi="Titillium"/>
          <w:sz w:val="20"/>
        </w:rPr>
        <w:t>Componente</w:t>
      </w:r>
      <w:proofErr w:type="gramEnd"/>
      <w:r>
        <w:rPr>
          <w:rFonts w:ascii="Titillium" w:hAnsi="Titillium"/>
          <w:sz w:val="20"/>
        </w:rPr>
        <w:t xml:space="preserve"> del Collegio di direzione dell’UCI</w:t>
      </w:r>
    </w:p>
    <w:p w:rsidR="000137CD" w:rsidRPr="000137CD" w:rsidRDefault="000137CD" w:rsidP="000137CD">
      <w:pPr>
        <w:jc w:val="both"/>
        <w:rPr>
          <w:rFonts w:ascii="Titillium" w:eastAsia="Times New Roman" w:hAnsi="Titillium" w:cs="Cambria"/>
          <w:sz w:val="20"/>
          <w:szCs w:val="20"/>
          <w:lang w:eastAsia="ar-SA"/>
        </w:rPr>
      </w:pPr>
    </w:p>
    <w:sectPr w:rsidR="000137CD" w:rsidRPr="00013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95052B"/>
    <w:multiLevelType w:val="hybridMultilevel"/>
    <w:tmpl w:val="09DED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D"/>
    <w:rsid w:val="000137CD"/>
    <w:rsid w:val="000B1019"/>
    <w:rsid w:val="000E4AE9"/>
    <w:rsid w:val="00496CDD"/>
    <w:rsid w:val="0054426B"/>
    <w:rsid w:val="005A69FA"/>
    <w:rsid w:val="005E5FE2"/>
    <w:rsid w:val="00627C5E"/>
    <w:rsid w:val="00670515"/>
    <w:rsid w:val="006B027F"/>
    <w:rsid w:val="00985AC9"/>
    <w:rsid w:val="00B96E2A"/>
    <w:rsid w:val="00E63D64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7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37CD"/>
    <w:pPr>
      <w:keepNext/>
      <w:widowControl w:val="0"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  <w:suppressAutoHyphens/>
      <w:spacing w:after="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137C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0137C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0137CD"/>
    <w:pPr>
      <w:keepNext/>
      <w:widowControl w:val="0"/>
      <w:numPr>
        <w:numId w:val="1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137C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AC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7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7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37CD"/>
    <w:pPr>
      <w:keepNext/>
      <w:widowControl w:val="0"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  <w:suppressAutoHyphens/>
      <w:spacing w:after="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137C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0137C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0137CD"/>
    <w:pPr>
      <w:keepNext/>
      <w:widowControl w:val="0"/>
      <w:numPr>
        <w:numId w:val="1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137C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AC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7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57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0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898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zettaufficiale.it/eli/gu/2021/01/14/10/sg/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Sassara Maria Rita</dc:creator>
  <cp:lastModifiedBy>Patrizia De Rose</cp:lastModifiedBy>
  <cp:revision>11</cp:revision>
  <cp:lastPrinted>2021-06-23T12:39:00Z</cp:lastPrinted>
  <dcterms:created xsi:type="dcterms:W3CDTF">2021-06-15T11:14:00Z</dcterms:created>
  <dcterms:modified xsi:type="dcterms:W3CDTF">2021-06-24T09:35:00Z</dcterms:modified>
</cp:coreProperties>
</file>